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0751" w:rsidRPr="00E50751" w:rsidRDefault="00E50751" w:rsidP="00E50751">
      <w:pPr>
        <w:spacing w:beforeLines="1" w:afterLines="1"/>
        <w:jc w:val="center"/>
        <w:outlineLvl w:val="0"/>
        <w:rPr>
          <w:rFonts w:ascii="Times" w:hAnsi="Times"/>
          <w:b/>
          <w:kern w:val="36"/>
          <w:sz w:val="48"/>
          <w:szCs w:val="20"/>
          <w:lang w:eastAsia="it-IT"/>
        </w:rPr>
      </w:pPr>
      <w:r w:rsidRPr="00E50751">
        <w:rPr>
          <w:rFonts w:ascii="Times" w:hAnsi="Times"/>
          <w:b/>
          <w:kern w:val="36"/>
          <w:sz w:val="48"/>
          <w:szCs w:val="20"/>
          <w:lang w:eastAsia="it-IT"/>
        </w:rPr>
        <w:t>Articolo 47 ter Legge sull'ordinamento penitenziario</w:t>
      </w:r>
    </w:p>
    <w:p w:rsidR="00E50751" w:rsidRPr="00E50751" w:rsidRDefault="00E50751" w:rsidP="00E50751">
      <w:pPr>
        <w:spacing w:beforeLines="1" w:afterLines="1"/>
        <w:jc w:val="center"/>
        <w:outlineLvl w:val="1"/>
        <w:rPr>
          <w:rFonts w:ascii="Times" w:hAnsi="Times"/>
          <w:b/>
          <w:sz w:val="36"/>
          <w:szCs w:val="20"/>
          <w:lang w:eastAsia="it-IT"/>
        </w:rPr>
      </w:pPr>
      <w:r w:rsidRPr="00E50751">
        <w:rPr>
          <w:rFonts w:ascii="Times" w:hAnsi="Times"/>
          <w:b/>
          <w:sz w:val="36"/>
          <w:szCs w:val="20"/>
          <w:lang w:eastAsia="it-IT"/>
        </w:rPr>
        <w:t>(L. 26 luglio 1975, n. 354)</w:t>
      </w:r>
    </w:p>
    <w:p w:rsidR="00E50751" w:rsidRPr="00E50751" w:rsidRDefault="00E50751" w:rsidP="00E50751">
      <w:pPr>
        <w:jc w:val="center"/>
        <w:rPr>
          <w:rFonts w:ascii="Times" w:hAnsi="Times"/>
          <w:sz w:val="20"/>
          <w:szCs w:val="20"/>
          <w:lang w:eastAsia="it-IT"/>
        </w:rPr>
      </w:pPr>
      <w:r w:rsidRPr="00E50751">
        <w:rPr>
          <w:rFonts w:ascii="Times" w:hAnsi="Times"/>
          <w:sz w:val="15"/>
          <w:szCs w:val="20"/>
          <w:lang w:eastAsia="it-IT"/>
        </w:rPr>
        <w:t>[Aggiornato al 20/03/2025]</w:t>
      </w:r>
    </w:p>
    <w:p w:rsidR="00E50751" w:rsidRPr="00E50751" w:rsidRDefault="00E50751" w:rsidP="00E50751">
      <w:pPr>
        <w:spacing w:beforeLines="1" w:afterLines="1"/>
        <w:jc w:val="center"/>
        <w:outlineLvl w:val="2"/>
        <w:rPr>
          <w:rFonts w:ascii="Times" w:hAnsi="Times"/>
          <w:b/>
          <w:sz w:val="27"/>
          <w:szCs w:val="20"/>
          <w:lang w:eastAsia="it-IT"/>
        </w:rPr>
      </w:pPr>
      <w:r w:rsidRPr="00E50751">
        <w:rPr>
          <w:rFonts w:ascii="Times" w:hAnsi="Times"/>
          <w:b/>
          <w:sz w:val="27"/>
          <w:szCs w:val="20"/>
          <w:lang w:eastAsia="it-IT"/>
        </w:rPr>
        <w:t>Detenzione domiciliare</w:t>
      </w:r>
    </w:p>
    <w:p w:rsidR="00F4158C" w:rsidRDefault="00F4158C" w:rsidP="00F4158C">
      <w:pPr>
        <w:jc w:val="center"/>
      </w:pPr>
    </w:p>
    <w:p w:rsidR="00F4158C" w:rsidRDefault="00F4158C" w:rsidP="00F4158C">
      <w:pPr>
        <w:jc w:val="center"/>
      </w:pPr>
    </w:p>
    <w:p w:rsidR="00E50751" w:rsidRPr="00E50751" w:rsidRDefault="00E50751" w:rsidP="00E50751">
      <w:pPr>
        <w:spacing w:beforeLines="1" w:afterLines="1"/>
        <w:rPr>
          <w:rFonts w:ascii="Times" w:hAnsi="Times" w:cs="Times New Roman"/>
          <w:sz w:val="20"/>
          <w:szCs w:val="20"/>
          <w:lang w:eastAsia="it-IT"/>
        </w:rPr>
      </w:pPr>
      <w:r w:rsidRPr="00E50751">
        <w:rPr>
          <w:rFonts w:ascii="Times" w:hAnsi="Times" w:cs="Times New Roman"/>
          <w:sz w:val="20"/>
          <w:szCs w:val="20"/>
          <w:lang w:eastAsia="it-IT"/>
        </w:rPr>
        <w:t xml:space="preserve">01. La pena della reclusione per qualunque reato, ad eccezione di quelli previsti dal libro II, titolo XII, capo III, sezione I, e dagli articoli </w:t>
      </w:r>
      <w:hyperlink r:id="rId5" w:history="1">
        <w:r w:rsidRPr="00E50751">
          <w:rPr>
            <w:rFonts w:ascii="Times" w:hAnsi="Times" w:cs="Times New Roman"/>
            <w:color w:val="0000FF"/>
            <w:sz w:val="20"/>
            <w:szCs w:val="20"/>
            <w:u w:val="single"/>
            <w:lang w:eastAsia="it-IT"/>
          </w:rPr>
          <w:t>609 bis</w:t>
        </w:r>
      </w:hyperlink>
      <w:r w:rsidRPr="00E50751">
        <w:rPr>
          <w:rFonts w:ascii="Times" w:hAnsi="Times" w:cs="Times New Roman"/>
          <w:sz w:val="20"/>
          <w:szCs w:val="20"/>
          <w:lang w:eastAsia="it-IT"/>
        </w:rPr>
        <w:t xml:space="preserve">, </w:t>
      </w:r>
      <w:hyperlink r:id="rId6" w:history="1">
        <w:r w:rsidRPr="00E50751">
          <w:rPr>
            <w:rFonts w:ascii="Times" w:hAnsi="Times" w:cs="Times New Roman"/>
            <w:color w:val="0000FF"/>
            <w:sz w:val="20"/>
            <w:szCs w:val="20"/>
            <w:u w:val="single"/>
            <w:lang w:eastAsia="it-IT"/>
          </w:rPr>
          <w:t>609 quater</w:t>
        </w:r>
      </w:hyperlink>
      <w:r w:rsidRPr="00E50751">
        <w:rPr>
          <w:rFonts w:ascii="Times" w:hAnsi="Times" w:cs="Times New Roman"/>
          <w:sz w:val="20"/>
          <w:szCs w:val="20"/>
          <w:lang w:eastAsia="it-IT"/>
        </w:rPr>
        <w:t xml:space="preserve"> e </w:t>
      </w:r>
      <w:hyperlink r:id="rId7" w:history="1">
        <w:r w:rsidRPr="00E50751">
          <w:rPr>
            <w:rFonts w:ascii="Times" w:hAnsi="Times" w:cs="Times New Roman"/>
            <w:color w:val="0000FF"/>
            <w:sz w:val="20"/>
            <w:szCs w:val="20"/>
            <w:u w:val="single"/>
            <w:lang w:eastAsia="it-IT"/>
          </w:rPr>
          <w:t>609 octies</w:t>
        </w:r>
      </w:hyperlink>
      <w:r w:rsidRPr="00E50751">
        <w:rPr>
          <w:rFonts w:ascii="Times" w:hAnsi="Times" w:cs="Times New Roman"/>
          <w:sz w:val="20"/>
          <w:szCs w:val="20"/>
          <w:lang w:eastAsia="it-IT"/>
        </w:rPr>
        <w:t xml:space="preserve"> del codice penale, dall'articolo </w:t>
      </w:r>
      <w:hyperlink r:id="rId8" w:history="1">
        <w:r w:rsidRPr="00E50751">
          <w:rPr>
            <w:rFonts w:ascii="Times" w:hAnsi="Times" w:cs="Times New Roman"/>
            <w:color w:val="0000FF"/>
            <w:sz w:val="20"/>
            <w:szCs w:val="20"/>
            <w:u w:val="single"/>
            <w:lang w:eastAsia="it-IT"/>
          </w:rPr>
          <w:t>51</w:t>
        </w:r>
      </w:hyperlink>
      <w:r w:rsidRPr="00E50751">
        <w:rPr>
          <w:rFonts w:ascii="Times" w:hAnsi="Times" w:cs="Times New Roman"/>
          <w:sz w:val="20"/>
          <w:szCs w:val="20"/>
          <w:lang w:eastAsia="it-IT"/>
        </w:rPr>
        <w:t xml:space="preserve">, comma 3-bis, del codice di procedura penale e dall'articolo </w:t>
      </w:r>
      <w:hyperlink r:id="rId9" w:history="1">
        <w:r w:rsidRPr="00E50751">
          <w:rPr>
            <w:rFonts w:ascii="Times" w:hAnsi="Times" w:cs="Times New Roman"/>
            <w:color w:val="0000FF"/>
            <w:sz w:val="20"/>
            <w:szCs w:val="20"/>
            <w:u w:val="single"/>
            <w:lang w:eastAsia="it-IT"/>
          </w:rPr>
          <w:t>4 bis</w:t>
        </w:r>
      </w:hyperlink>
      <w:r w:rsidRPr="00E50751">
        <w:rPr>
          <w:rFonts w:ascii="Times" w:hAnsi="Times" w:cs="Times New Roman"/>
          <w:sz w:val="20"/>
          <w:szCs w:val="20"/>
          <w:lang w:eastAsia="it-IT"/>
        </w:rPr>
        <w:t xml:space="preserve"> della presente legge, può essere espiata nella propria abitazione o in altro luogo pubblico di cura, assistenza ed accoglienza, quando trattasi di persona che, al momento dell'inizio dell'esecuzione della pena, o dopo l'inizio della stessa, abbia compiuto i settanta anni di età purché non sia stato dichiarato delinquente abituale, professionale o per tendenza né sia stato mai condannato con l'aggravante di cui all'articolo </w:t>
      </w:r>
      <w:hyperlink r:id="rId10" w:history="1">
        <w:r w:rsidRPr="00E50751">
          <w:rPr>
            <w:rFonts w:ascii="Times" w:hAnsi="Times" w:cs="Times New Roman"/>
            <w:color w:val="0000FF"/>
            <w:sz w:val="20"/>
            <w:szCs w:val="20"/>
            <w:u w:val="single"/>
            <w:lang w:eastAsia="it-IT"/>
          </w:rPr>
          <w:t>99</w:t>
        </w:r>
      </w:hyperlink>
      <w:r w:rsidRPr="00E50751">
        <w:rPr>
          <w:rFonts w:ascii="Times" w:hAnsi="Times" w:cs="Times New Roman"/>
          <w:sz w:val="20"/>
          <w:szCs w:val="20"/>
          <w:lang w:eastAsia="it-IT"/>
        </w:rPr>
        <w:t xml:space="preserve"> del codice penale</w:t>
      </w:r>
      <w:hyperlink r:id="rId11" w:anchor="nota_22646" w:history="1">
        <w:r w:rsidRPr="00E50751">
          <w:rPr>
            <w:rFonts w:ascii="Times" w:hAnsi="Times" w:cs="Times New Roman"/>
            <w:color w:val="0000FF"/>
            <w:sz w:val="20"/>
            <w:szCs w:val="20"/>
            <w:u w:val="single"/>
            <w:vertAlign w:val="superscript"/>
            <w:lang w:eastAsia="it-IT"/>
          </w:rPr>
          <w:t>(1)</w:t>
        </w:r>
      </w:hyperlink>
      <w:r w:rsidRPr="00E50751">
        <w:rPr>
          <w:rFonts w:ascii="Times" w:hAnsi="Times" w:cs="Times New Roman"/>
          <w:sz w:val="20"/>
          <w:szCs w:val="20"/>
          <w:lang w:eastAsia="it-IT"/>
        </w:rPr>
        <w:t>.</w:t>
      </w:r>
    </w:p>
    <w:p w:rsidR="00E50751" w:rsidRPr="00E50751" w:rsidRDefault="00E50751" w:rsidP="00E50751">
      <w:pPr>
        <w:spacing w:beforeLines="1" w:afterLines="1"/>
        <w:rPr>
          <w:rFonts w:ascii="Times" w:hAnsi="Times" w:cs="Times New Roman"/>
          <w:sz w:val="20"/>
          <w:szCs w:val="20"/>
          <w:lang w:eastAsia="it-IT"/>
        </w:rPr>
      </w:pPr>
      <w:r w:rsidRPr="00E50751">
        <w:rPr>
          <w:rFonts w:ascii="Times" w:hAnsi="Times" w:cs="Times New Roman"/>
          <w:sz w:val="20"/>
          <w:szCs w:val="20"/>
          <w:lang w:eastAsia="it-IT"/>
        </w:rPr>
        <w:t>1. La pena della reclusione non superiore a quattro anni, anche se costituente parte residua di maggior pena, nonché la pena dell'arresto, possono essere espiate nella propria abitazione o in altro luogo di privata dimora ovvero in luogo pubblico di cura, assistenza o accoglienza ovvero, nell'ipotesi di cui alla lettera a), in case famiglia protette, quando trattasi di:</w:t>
      </w:r>
    </w:p>
    <w:p w:rsidR="00E50751" w:rsidRPr="00E50751" w:rsidRDefault="00E50751" w:rsidP="00E50751">
      <w:pPr>
        <w:numPr>
          <w:ilvl w:val="0"/>
          <w:numId w:val="1"/>
        </w:numPr>
        <w:spacing w:beforeLines="1" w:afterLines="1"/>
        <w:rPr>
          <w:rFonts w:ascii="Times" w:hAnsi="Times"/>
          <w:sz w:val="20"/>
          <w:szCs w:val="20"/>
          <w:lang w:eastAsia="it-IT"/>
        </w:rPr>
      </w:pPr>
      <w:r w:rsidRPr="00E50751">
        <w:rPr>
          <w:rFonts w:ascii="Times" w:hAnsi="Times"/>
          <w:sz w:val="20"/>
          <w:szCs w:val="20"/>
          <w:lang w:eastAsia="it-IT"/>
        </w:rPr>
        <w:t>a) donna incinta o madre di prole di età inferiore ad anni dieci con lei convivente;</w:t>
      </w:r>
    </w:p>
    <w:p w:rsidR="00E50751" w:rsidRPr="00E50751" w:rsidRDefault="00E50751" w:rsidP="00E50751">
      <w:pPr>
        <w:numPr>
          <w:ilvl w:val="0"/>
          <w:numId w:val="1"/>
        </w:numPr>
        <w:spacing w:beforeLines="1" w:afterLines="1"/>
        <w:rPr>
          <w:rFonts w:ascii="Times" w:hAnsi="Times"/>
          <w:sz w:val="20"/>
          <w:szCs w:val="20"/>
          <w:lang w:eastAsia="it-IT"/>
        </w:rPr>
      </w:pPr>
      <w:r w:rsidRPr="00E50751">
        <w:rPr>
          <w:rFonts w:ascii="Times" w:hAnsi="Times"/>
          <w:sz w:val="20"/>
          <w:szCs w:val="20"/>
          <w:lang w:eastAsia="it-IT"/>
        </w:rPr>
        <w:t>[b) padre, esercente la potestà, di prole di età inferiore ad anni dieci con lui convivente, quando la madre sia deceduta o altrimenti assolutamente impossibilitata a dare assistenza alla prole;]</w:t>
      </w:r>
      <w:hyperlink r:id="rId12" w:anchor="nota_21203" w:history="1">
        <w:r w:rsidRPr="00E50751">
          <w:rPr>
            <w:rFonts w:ascii="Times" w:hAnsi="Times"/>
            <w:color w:val="0000FF"/>
            <w:sz w:val="20"/>
            <w:szCs w:val="20"/>
            <w:u w:val="single"/>
            <w:vertAlign w:val="superscript"/>
            <w:lang w:eastAsia="it-IT"/>
          </w:rPr>
          <w:t>(2)</w:t>
        </w:r>
      </w:hyperlink>
    </w:p>
    <w:p w:rsidR="00E50751" w:rsidRPr="00E50751" w:rsidRDefault="00E50751" w:rsidP="00E50751">
      <w:pPr>
        <w:numPr>
          <w:ilvl w:val="0"/>
          <w:numId w:val="1"/>
        </w:numPr>
        <w:spacing w:beforeLines="1" w:afterLines="1"/>
        <w:rPr>
          <w:rFonts w:ascii="Times" w:hAnsi="Times"/>
          <w:sz w:val="20"/>
          <w:szCs w:val="20"/>
          <w:lang w:eastAsia="it-IT"/>
        </w:rPr>
      </w:pPr>
      <w:r w:rsidRPr="00E50751">
        <w:rPr>
          <w:rFonts w:ascii="Times" w:hAnsi="Times"/>
          <w:sz w:val="20"/>
          <w:szCs w:val="20"/>
          <w:lang w:eastAsia="it-IT"/>
        </w:rPr>
        <w:t>c) persona in condizioni di salute particolarmente gravi, che richiedano costanti contatti con i presidi sanitari territoriali;</w:t>
      </w:r>
    </w:p>
    <w:p w:rsidR="00E50751" w:rsidRPr="00E50751" w:rsidRDefault="00E50751" w:rsidP="00E50751">
      <w:pPr>
        <w:numPr>
          <w:ilvl w:val="0"/>
          <w:numId w:val="1"/>
        </w:numPr>
        <w:spacing w:beforeLines="1" w:afterLines="1"/>
        <w:rPr>
          <w:rFonts w:ascii="Times" w:hAnsi="Times"/>
          <w:sz w:val="20"/>
          <w:szCs w:val="20"/>
          <w:lang w:eastAsia="it-IT"/>
        </w:rPr>
      </w:pPr>
      <w:r w:rsidRPr="00E50751">
        <w:rPr>
          <w:rFonts w:ascii="Times" w:hAnsi="Times"/>
          <w:sz w:val="20"/>
          <w:szCs w:val="20"/>
          <w:lang w:eastAsia="it-IT"/>
        </w:rPr>
        <w:t>d) persona di età superiore a sessanta anni, se inabile anche parzialmente;</w:t>
      </w:r>
    </w:p>
    <w:p w:rsidR="00E50751" w:rsidRPr="00E50751" w:rsidRDefault="00E50751" w:rsidP="00E50751">
      <w:pPr>
        <w:numPr>
          <w:ilvl w:val="0"/>
          <w:numId w:val="1"/>
        </w:numPr>
        <w:spacing w:beforeLines="1" w:afterLines="1"/>
        <w:rPr>
          <w:rFonts w:ascii="Times" w:hAnsi="Times"/>
          <w:sz w:val="20"/>
          <w:szCs w:val="20"/>
          <w:lang w:eastAsia="it-IT"/>
        </w:rPr>
      </w:pPr>
      <w:r w:rsidRPr="00E50751">
        <w:rPr>
          <w:rFonts w:ascii="Times" w:hAnsi="Times"/>
          <w:sz w:val="20"/>
          <w:szCs w:val="20"/>
          <w:lang w:eastAsia="it-IT"/>
        </w:rPr>
        <w:t>e) persona minore di anni ventuno per comprovate esigenze di salute, di studio, di lavoro e di famiglia.</w:t>
      </w:r>
    </w:p>
    <w:p w:rsidR="00E50751" w:rsidRPr="00E50751" w:rsidRDefault="00E50751" w:rsidP="00E50751">
      <w:pPr>
        <w:spacing w:beforeLines="1" w:afterLines="1"/>
        <w:rPr>
          <w:rFonts w:ascii="Times" w:hAnsi="Times" w:cs="Times New Roman"/>
          <w:sz w:val="20"/>
          <w:szCs w:val="20"/>
          <w:lang w:eastAsia="it-IT"/>
        </w:rPr>
      </w:pPr>
      <w:r w:rsidRPr="00E50751">
        <w:rPr>
          <w:rFonts w:ascii="Times" w:hAnsi="Times" w:cs="Times New Roman"/>
          <w:sz w:val="20"/>
          <w:szCs w:val="20"/>
          <w:lang w:eastAsia="it-IT"/>
        </w:rPr>
        <w:t>1.1. [Al condannato, al quale sia stata applicata la recidiva prevista dall'articolo 99, quarto comma, del codice penale, può essere concessa la detenzione domiciliare se la pena detentiva inflitta, anche se costituente parte residua di maggior pena, non supera tre anni.]</w:t>
      </w:r>
      <w:hyperlink r:id="rId13" w:anchor="nota_19666" w:history="1">
        <w:r w:rsidRPr="00E50751">
          <w:rPr>
            <w:rFonts w:ascii="Times" w:hAnsi="Times" w:cs="Times New Roman"/>
            <w:color w:val="0000FF"/>
            <w:sz w:val="20"/>
            <w:szCs w:val="20"/>
            <w:u w:val="single"/>
            <w:vertAlign w:val="superscript"/>
            <w:lang w:eastAsia="it-IT"/>
          </w:rPr>
          <w:t>(3)</w:t>
        </w:r>
      </w:hyperlink>
    </w:p>
    <w:p w:rsidR="00E50751" w:rsidRPr="00E50751" w:rsidRDefault="00E50751" w:rsidP="00E50751">
      <w:pPr>
        <w:spacing w:beforeLines="1" w:afterLines="1"/>
        <w:rPr>
          <w:rFonts w:ascii="Times" w:hAnsi="Times" w:cs="Times New Roman"/>
          <w:sz w:val="20"/>
          <w:szCs w:val="20"/>
          <w:lang w:eastAsia="it-IT"/>
        </w:rPr>
      </w:pPr>
      <w:r w:rsidRPr="00E50751">
        <w:rPr>
          <w:rFonts w:ascii="Times" w:hAnsi="Times" w:cs="Times New Roman"/>
          <w:sz w:val="20"/>
          <w:szCs w:val="20"/>
          <w:lang w:eastAsia="it-IT"/>
        </w:rPr>
        <w:t xml:space="preserve">1-bis. La detenzione domiciliare può essere applicata per l'espiazione della pena detentiva inflitta in misura non superiore a due anni, anche se costituente parte residua di maggior pena, indipendentemente dalle condizioni di cui al comma 1 quando non ricorrono i presupposti per l'affidamento in prova al servizio sociale e sempre che tale misura sia idonea ad evitare il pericolo che il condannato commetta altri reati. La presente disposizione non si applica ai condannati per i reati di cui all'articolo </w:t>
      </w:r>
      <w:hyperlink r:id="rId14" w:history="1">
        <w:r w:rsidRPr="00E50751">
          <w:rPr>
            <w:rFonts w:ascii="Times" w:hAnsi="Times" w:cs="Times New Roman"/>
            <w:color w:val="0000FF"/>
            <w:sz w:val="20"/>
            <w:szCs w:val="20"/>
            <w:u w:val="single"/>
            <w:lang w:eastAsia="it-IT"/>
          </w:rPr>
          <w:t>4 bis</w:t>
        </w:r>
      </w:hyperlink>
      <w:r w:rsidRPr="00E50751">
        <w:rPr>
          <w:rFonts w:ascii="Times" w:hAnsi="Times" w:cs="Times New Roman"/>
          <w:sz w:val="20"/>
          <w:szCs w:val="20"/>
          <w:lang w:eastAsia="it-IT"/>
        </w:rPr>
        <w:t>.</w:t>
      </w:r>
    </w:p>
    <w:p w:rsidR="00E50751" w:rsidRPr="00E50751" w:rsidRDefault="00E50751" w:rsidP="00E50751">
      <w:pPr>
        <w:spacing w:beforeLines="1" w:afterLines="1"/>
        <w:rPr>
          <w:rFonts w:ascii="Times" w:hAnsi="Times" w:cs="Times New Roman"/>
          <w:sz w:val="20"/>
          <w:szCs w:val="20"/>
          <w:lang w:eastAsia="it-IT"/>
        </w:rPr>
      </w:pPr>
      <w:r w:rsidRPr="00E50751">
        <w:rPr>
          <w:rFonts w:ascii="Times" w:hAnsi="Times" w:cs="Times New Roman"/>
          <w:sz w:val="20"/>
          <w:szCs w:val="20"/>
          <w:lang w:eastAsia="it-IT"/>
        </w:rPr>
        <w:t xml:space="preserve">1-ter. [Quando potrebbe essere disposto il rinvio obbligatorio o facoltativo della esecuzione della pena ai sensi degli articoli </w:t>
      </w:r>
      <w:hyperlink r:id="rId15" w:history="1">
        <w:r w:rsidRPr="00E50751">
          <w:rPr>
            <w:rFonts w:ascii="Times" w:hAnsi="Times" w:cs="Times New Roman"/>
            <w:color w:val="0000FF"/>
            <w:sz w:val="20"/>
            <w:szCs w:val="20"/>
            <w:u w:val="single"/>
            <w:lang w:eastAsia="it-IT"/>
          </w:rPr>
          <w:t>146</w:t>
        </w:r>
      </w:hyperlink>
      <w:r w:rsidRPr="00E50751">
        <w:rPr>
          <w:rFonts w:ascii="Times" w:hAnsi="Times" w:cs="Times New Roman"/>
          <w:sz w:val="20"/>
          <w:szCs w:val="20"/>
          <w:lang w:eastAsia="it-IT"/>
        </w:rPr>
        <w:t xml:space="preserve"> e </w:t>
      </w:r>
      <w:hyperlink r:id="rId16" w:history="1">
        <w:r w:rsidRPr="00E50751">
          <w:rPr>
            <w:rFonts w:ascii="Times" w:hAnsi="Times" w:cs="Times New Roman"/>
            <w:color w:val="0000FF"/>
            <w:sz w:val="20"/>
            <w:szCs w:val="20"/>
            <w:u w:val="single"/>
            <w:lang w:eastAsia="it-IT"/>
          </w:rPr>
          <w:t>147</w:t>
        </w:r>
      </w:hyperlink>
      <w:r w:rsidRPr="00E50751">
        <w:rPr>
          <w:rFonts w:ascii="Times" w:hAnsi="Times" w:cs="Times New Roman"/>
          <w:sz w:val="20"/>
          <w:szCs w:val="20"/>
          <w:lang w:eastAsia="it-IT"/>
        </w:rPr>
        <w:t xml:space="preserve"> del codice penale, il tribunale di sorveglianza, anche se la pena supera il limite di cui al comma 1, può disporre la applicazione della detenzione domiciliare, stabilendo un termine di durata di tale applicazione, termine che può essere prorogato. L'esecuzione della pena prosegue durante la esecuzione della detenzione domiciliare.]</w:t>
      </w:r>
      <w:hyperlink r:id="rId17" w:anchor="nota_21206" w:history="1">
        <w:r w:rsidRPr="00E50751">
          <w:rPr>
            <w:rFonts w:ascii="Times" w:hAnsi="Times" w:cs="Times New Roman"/>
            <w:color w:val="0000FF"/>
            <w:sz w:val="20"/>
            <w:szCs w:val="20"/>
            <w:u w:val="single"/>
            <w:vertAlign w:val="superscript"/>
            <w:lang w:eastAsia="it-IT"/>
          </w:rPr>
          <w:t>(4)</w:t>
        </w:r>
      </w:hyperlink>
    </w:p>
    <w:p w:rsidR="00E50751" w:rsidRPr="00E50751" w:rsidRDefault="00E50751" w:rsidP="00E50751">
      <w:pPr>
        <w:spacing w:beforeLines="1" w:afterLines="1"/>
        <w:rPr>
          <w:rFonts w:ascii="Times" w:hAnsi="Times" w:cs="Times New Roman"/>
          <w:sz w:val="20"/>
          <w:szCs w:val="20"/>
          <w:lang w:eastAsia="it-IT"/>
        </w:rPr>
      </w:pPr>
      <w:r w:rsidRPr="00E50751">
        <w:rPr>
          <w:rFonts w:ascii="Times" w:hAnsi="Times" w:cs="Times New Roman"/>
          <w:sz w:val="20"/>
          <w:szCs w:val="20"/>
          <w:lang w:eastAsia="it-IT"/>
        </w:rPr>
        <w:t xml:space="preserve">1-quater. L'istanza di applicazione della detenzione domiciliare è rivolta, dopo che ha avuto inizio l'esecuzione della pena, al tribunale di sorveglianza competente in relazione al luogo di esecuzione. Nei casi in cui vi sia un grave pregiudizio derivante dalla protrazione dello stato di detenzione, l'istanza di detenzione domiciliare di cui ai precedenti commi 01, 1, 1-bis e 1-ter è rivolta al magistrato di sorveglianza che può disporre l'applicazione provvisoria della misura. Si applicano, in quanto compatibili, le disposizioni di cui all'articolo </w:t>
      </w:r>
      <w:hyperlink r:id="rId18" w:history="1">
        <w:r w:rsidRPr="00E50751">
          <w:rPr>
            <w:rFonts w:ascii="Times" w:hAnsi="Times" w:cs="Times New Roman"/>
            <w:color w:val="0000FF"/>
            <w:sz w:val="20"/>
            <w:szCs w:val="20"/>
            <w:u w:val="single"/>
            <w:lang w:eastAsia="it-IT"/>
          </w:rPr>
          <w:t>47</w:t>
        </w:r>
      </w:hyperlink>
      <w:r w:rsidRPr="00E50751">
        <w:rPr>
          <w:rFonts w:ascii="Times" w:hAnsi="Times" w:cs="Times New Roman"/>
          <w:sz w:val="20"/>
          <w:szCs w:val="20"/>
          <w:lang w:eastAsia="it-IT"/>
        </w:rPr>
        <w:t>, comma 4.</w:t>
      </w:r>
    </w:p>
    <w:p w:rsidR="00E50751" w:rsidRPr="00E50751" w:rsidRDefault="00E50751" w:rsidP="00E50751">
      <w:pPr>
        <w:spacing w:beforeLines="1" w:afterLines="1"/>
        <w:rPr>
          <w:rFonts w:ascii="Times" w:hAnsi="Times" w:cs="Times New Roman"/>
          <w:sz w:val="20"/>
          <w:szCs w:val="20"/>
          <w:lang w:eastAsia="it-IT"/>
        </w:rPr>
      </w:pPr>
      <w:r w:rsidRPr="00E50751">
        <w:rPr>
          <w:rFonts w:ascii="Times" w:hAnsi="Times" w:cs="Times New Roman"/>
          <w:sz w:val="20"/>
          <w:szCs w:val="20"/>
          <w:lang w:eastAsia="it-IT"/>
        </w:rPr>
        <w:t xml:space="preserve">1-quinquies. Nei confronti dei detenuti per uno dei delitti previsti dall'articolo </w:t>
      </w:r>
      <w:hyperlink r:id="rId19" w:history="1">
        <w:r w:rsidRPr="00E50751">
          <w:rPr>
            <w:rFonts w:ascii="Times" w:hAnsi="Times" w:cs="Times New Roman"/>
            <w:color w:val="0000FF"/>
            <w:sz w:val="20"/>
            <w:szCs w:val="20"/>
            <w:u w:val="single"/>
            <w:lang w:eastAsia="it-IT"/>
          </w:rPr>
          <w:t>51</w:t>
        </w:r>
      </w:hyperlink>
      <w:r w:rsidRPr="00E50751">
        <w:rPr>
          <w:rFonts w:ascii="Times" w:hAnsi="Times" w:cs="Times New Roman"/>
          <w:sz w:val="20"/>
          <w:szCs w:val="20"/>
          <w:lang w:eastAsia="it-IT"/>
        </w:rPr>
        <w:t xml:space="preserve">, comma 3-bis e 3-quater del codice di procedura penale o sottoposti al regime previsto dall'articolo </w:t>
      </w:r>
      <w:hyperlink r:id="rId20" w:history="1">
        <w:r w:rsidRPr="00E50751">
          <w:rPr>
            <w:rFonts w:ascii="Times" w:hAnsi="Times" w:cs="Times New Roman"/>
            <w:color w:val="0000FF"/>
            <w:sz w:val="20"/>
            <w:szCs w:val="20"/>
            <w:u w:val="single"/>
            <w:lang w:eastAsia="it-IT"/>
          </w:rPr>
          <w:t>41 bis</w:t>
        </w:r>
      </w:hyperlink>
      <w:r w:rsidRPr="00E50751">
        <w:rPr>
          <w:rFonts w:ascii="Times" w:hAnsi="Times" w:cs="Times New Roman"/>
          <w:sz w:val="20"/>
          <w:szCs w:val="20"/>
          <w:lang w:eastAsia="it-IT"/>
        </w:rPr>
        <w:t xml:space="preserve">, il tribunale o il magistrato di sorveglianza, prima di provvedere in ordine al rinvio dell'esecuzione della pena ai sensi degli articoli </w:t>
      </w:r>
      <w:hyperlink r:id="rId21" w:history="1">
        <w:r w:rsidRPr="00E50751">
          <w:rPr>
            <w:rFonts w:ascii="Times" w:hAnsi="Times" w:cs="Times New Roman"/>
            <w:color w:val="0000FF"/>
            <w:sz w:val="20"/>
            <w:szCs w:val="20"/>
            <w:u w:val="single"/>
            <w:lang w:eastAsia="it-IT"/>
          </w:rPr>
          <w:t>146</w:t>
        </w:r>
      </w:hyperlink>
      <w:r w:rsidRPr="00E50751">
        <w:rPr>
          <w:rFonts w:ascii="Times" w:hAnsi="Times" w:cs="Times New Roman"/>
          <w:sz w:val="20"/>
          <w:szCs w:val="20"/>
          <w:lang w:eastAsia="it-IT"/>
        </w:rPr>
        <w:t xml:space="preserve"> o </w:t>
      </w:r>
      <w:hyperlink r:id="rId22" w:history="1">
        <w:r w:rsidRPr="00E50751">
          <w:rPr>
            <w:rFonts w:ascii="Times" w:hAnsi="Times" w:cs="Times New Roman"/>
            <w:color w:val="0000FF"/>
            <w:sz w:val="20"/>
            <w:szCs w:val="20"/>
            <w:u w:val="single"/>
            <w:lang w:eastAsia="it-IT"/>
          </w:rPr>
          <w:t>147</w:t>
        </w:r>
      </w:hyperlink>
      <w:r w:rsidRPr="00E50751">
        <w:rPr>
          <w:rFonts w:ascii="Times" w:hAnsi="Times" w:cs="Times New Roman"/>
          <w:sz w:val="20"/>
          <w:szCs w:val="20"/>
          <w:lang w:eastAsia="it-IT"/>
        </w:rPr>
        <w:t xml:space="preserve"> del codice penale con applicazione della detenzione domiciliare, ai sensi del comma 1-ter, o alla sua proroga, chiede il parere del procuratore della Repubblica presso il tribunale del capoluogo del distretto ove è stata pronunciata la sentenza di condanna e, nel caso di detenuti sottoposti al regime previsto dall'articolo 41-bis, anche quello del Procuratore nazionale antimafia e antiterrorismo in ordine all'attualità dei collegamenti con la criminalità organizzata ed alla pericolosità del soggetto. I pareri sono resi al magistrato di sorveglianza e al tribunale di sorveglianza nel termine, rispettivamente, di due giorni e di quindici giorni dalla richiesta. Salvo che ricorrano esigenze di motivata eccezionale urgenza, il tribunale o il magistrato di sorveglianza non possono provvedere prima del decorso dei predetti termini</w:t>
      </w:r>
      <w:hyperlink r:id="rId23" w:anchor="nota_21791" w:history="1">
        <w:r w:rsidRPr="00E50751">
          <w:rPr>
            <w:rFonts w:ascii="Times" w:hAnsi="Times" w:cs="Times New Roman"/>
            <w:color w:val="0000FF"/>
            <w:sz w:val="20"/>
            <w:szCs w:val="20"/>
            <w:u w:val="single"/>
            <w:vertAlign w:val="superscript"/>
            <w:lang w:eastAsia="it-IT"/>
          </w:rPr>
          <w:t>(5)</w:t>
        </w:r>
      </w:hyperlink>
      <w:r w:rsidRPr="00E50751">
        <w:rPr>
          <w:rFonts w:ascii="Times" w:hAnsi="Times" w:cs="Times New Roman"/>
          <w:sz w:val="20"/>
          <w:szCs w:val="20"/>
          <w:lang w:eastAsia="it-IT"/>
        </w:rPr>
        <w:t>.</w:t>
      </w:r>
    </w:p>
    <w:p w:rsidR="00E50751" w:rsidRPr="00E50751" w:rsidRDefault="00E50751" w:rsidP="00E50751">
      <w:pPr>
        <w:spacing w:beforeLines="1" w:afterLines="1"/>
        <w:rPr>
          <w:rFonts w:ascii="Times" w:hAnsi="Times" w:cs="Times New Roman"/>
          <w:sz w:val="20"/>
          <w:szCs w:val="20"/>
          <w:lang w:eastAsia="it-IT"/>
        </w:rPr>
      </w:pPr>
      <w:r w:rsidRPr="00E50751">
        <w:rPr>
          <w:rFonts w:ascii="Times" w:hAnsi="Times" w:cs="Times New Roman"/>
          <w:sz w:val="20"/>
          <w:szCs w:val="20"/>
          <w:lang w:eastAsia="it-IT"/>
        </w:rPr>
        <w:t>2. [La detenzione domiciliare non può essere concessa quando è accertata l'attualità di collegamenti del condannato con la criminalità organizzata o di una scelta di criminalità.]</w:t>
      </w:r>
      <w:hyperlink r:id="rId24" w:anchor="nota_19667" w:history="1">
        <w:r w:rsidRPr="00E50751">
          <w:rPr>
            <w:rFonts w:ascii="Times" w:hAnsi="Times" w:cs="Times New Roman"/>
            <w:color w:val="0000FF"/>
            <w:sz w:val="20"/>
            <w:szCs w:val="20"/>
            <w:u w:val="single"/>
            <w:vertAlign w:val="superscript"/>
            <w:lang w:eastAsia="it-IT"/>
          </w:rPr>
          <w:t>(6)</w:t>
        </w:r>
      </w:hyperlink>
    </w:p>
    <w:p w:rsidR="00E50751" w:rsidRPr="00E50751" w:rsidRDefault="00E50751" w:rsidP="00E50751">
      <w:pPr>
        <w:spacing w:beforeLines="1" w:afterLines="1"/>
        <w:rPr>
          <w:rFonts w:ascii="Times" w:hAnsi="Times" w:cs="Times New Roman"/>
          <w:sz w:val="20"/>
          <w:szCs w:val="20"/>
          <w:lang w:eastAsia="it-IT"/>
        </w:rPr>
      </w:pPr>
      <w:r w:rsidRPr="00E50751">
        <w:rPr>
          <w:rFonts w:ascii="Times" w:hAnsi="Times" w:cs="Times New Roman"/>
          <w:sz w:val="20"/>
          <w:szCs w:val="20"/>
          <w:lang w:eastAsia="it-IT"/>
        </w:rPr>
        <w:t>3. [Se la condanna di cui al comma 1 deve essere eseguita nei confronti di persona che trovasi in stato di libertà o ha trascorso la custodia cautelare, o la parte terminale di essa, in regime di arresti domiciliari, si applica la procedura di cui al comma 4 dell'articolo 47.]</w:t>
      </w:r>
      <w:hyperlink r:id="rId25" w:anchor="nota_19668" w:history="1">
        <w:r w:rsidRPr="00E50751">
          <w:rPr>
            <w:rFonts w:ascii="Times" w:hAnsi="Times" w:cs="Times New Roman"/>
            <w:color w:val="0000FF"/>
            <w:sz w:val="20"/>
            <w:szCs w:val="20"/>
            <w:u w:val="single"/>
            <w:vertAlign w:val="superscript"/>
            <w:lang w:eastAsia="it-IT"/>
          </w:rPr>
          <w:t>(7)</w:t>
        </w:r>
      </w:hyperlink>
    </w:p>
    <w:p w:rsidR="00E50751" w:rsidRPr="00E50751" w:rsidRDefault="00E50751" w:rsidP="00E50751">
      <w:pPr>
        <w:spacing w:beforeLines="1" w:afterLines="1"/>
        <w:rPr>
          <w:rFonts w:ascii="Times" w:hAnsi="Times" w:cs="Times New Roman"/>
          <w:sz w:val="20"/>
          <w:szCs w:val="20"/>
          <w:lang w:eastAsia="it-IT"/>
        </w:rPr>
      </w:pPr>
      <w:r w:rsidRPr="00E50751">
        <w:rPr>
          <w:rFonts w:ascii="Times" w:hAnsi="Times" w:cs="Times New Roman"/>
          <w:sz w:val="20"/>
          <w:szCs w:val="20"/>
          <w:lang w:eastAsia="it-IT"/>
        </w:rPr>
        <w:t xml:space="preserve">4. Il tribunale di sorveglianza, nel disporre la detenzione domiciliare, ne fissa le modalità secondo quanto stabilito dall'articolo </w:t>
      </w:r>
      <w:hyperlink r:id="rId26" w:history="1">
        <w:r w:rsidRPr="00E50751">
          <w:rPr>
            <w:rFonts w:ascii="Times" w:hAnsi="Times" w:cs="Times New Roman"/>
            <w:color w:val="0000FF"/>
            <w:sz w:val="20"/>
            <w:szCs w:val="20"/>
            <w:u w:val="single"/>
            <w:lang w:eastAsia="it-IT"/>
          </w:rPr>
          <w:t>284</w:t>
        </w:r>
      </w:hyperlink>
      <w:r w:rsidRPr="00E50751">
        <w:rPr>
          <w:rFonts w:ascii="Times" w:hAnsi="Times" w:cs="Times New Roman"/>
          <w:sz w:val="20"/>
          <w:szCs w:val="20"/>
          <w:lang w:eastAsia="it-IT"/>
        </w:rPr>
        <w:t xml:space="preserve"> del codice di procedura penale. Determina e impartisce altresì le disposizioni per gli interventi del servizio sociale. Tali prescrizioni e disposizioni possono essere modificate dal magistrato di sorveglianza competente per il luogo in cui si svolge la detenzione domiciliare.</w:t>
      </w:r>
    </w:p>
    <w:p w:rsidR="00E50751" w:rsidRPr="00E50751" w:rsidRDefault="00E50751" w:rsidP="00E50751">
      <w:pPr>
        <w:spacing w:beforeLines="1" w:afterLines="1"/>
        <w:rPr>
          <w:rFonts w:ascii="Times" w:hAnsi="Times" w:cs="Times New Roman"/>
          <w:sz w:val="20"/>
          <w:szCs w:val="20"/>
          <w:lang w:eastAsia="it-IT"/>
        </w:rPr>
      </w:pPr>
      <w:r w:rsidRPr="00E50751">
        <w:rPr>
          <w:rFonts w:ascii="Times" w:hAnsi="Times" w:cs="Times New Roman"/>
          <w:sz w:val="20"/>
          <w:szCs w:val="20"/>
          <w:lang w:eastAsia="it-IT"/>
        </w:rPr>
        <w:t>4-bis. [Nel disporre la detenzione domiciliare il tribunale di sorveglianza, quando ne abbia accertato la disponibilità da parte delle autorità preposte al controllo, può prevedere modalità di verifica per l'osservanza delle prescrizioni imposte anche mediante mezzi elettronici o altri strumenti tecnici. Si applicano le disposizioni di cui all'articolo 275-bis del codice di procedura penale.]</w:t>
      </w:r>
      <w:hyperlink r:id="rId27" w:anchor="nota_19669" w:history="1">
        <w:r w:rsidRPr="00E50751">
          <w:rPr>
            <w:rFonts w:ascii="Times" w:hAnsi="Times" w:cs="Times New Roman"/>
            <w:color w:val="0000FF"/>
            <w:sz w:val="20"/>
            <w:szCs w:val="20"/>
            <w:u w:val="single"/>
            <w:vertAlign w:val="superscript"/>
            <w:lang w:eastAsia="it-IT"/>
          </w:rPr>
          <w:t>(8)</w:t>
        </w:r>
      </w:hyperlink>
    </w:p>
    <w:p w:rsidR="00E50751" w:rsidRPr="00E50751" w:rsidRDefault="00E50751" w:rsidP="00E50751">
      <w:pPr>
        <w:spacing w:beforeLines="1" w:afterLines="1"/>
        <w:rPr>
          <w:rFonts w:ascii="Times" w:hAnsi="Times" w:cs="Times New Roman"/>
          <w:sz w:val="20"/>
          <w:szCs w:val="20"/>
          <w:lang w:eastAsia="it-IT"/>
        </w:rPr>
      </w:pPr>
      <w:r w:rsidRPr="00E50751">
        <w:rPr>
          <w:rFonts w:ascii="Times" w:hAnsi="Times" w:cs="Times New Roman"/>
          <w:sz w:val="20"/>
          <w:szCs w:val="20"/>
          <w:lang w:eastAsia="it-IT"/>
        </w:rPr>
        <w:t>5. Il condannato nei confronti del quale è disposta la detenzione domiciliare non è sottoposto al regime penitenziario previsto dalla presente legge e dal relativo regolamento di esecuzione. Nessun onere grava sull'amministrazione penitenziaria per il mantenimento, la cura e l'assistenza medica del condannato che trovasi in detenzione domiciliare.</w:t>
      </w:r>
    </w:p>
    <w:p w:rsidR="00E50751" w:rsidRPr="00E50751" w:rsidRDefault="00E50751" w:rsidP="00E50751">
      <w:pPr>
        <w:spacing w:beforeLines="1" w:afterLines="1"/>
        <w:rPr>
          <w:rFonts w:ascii="Times" w:hAnsi="Times" w:cs="Times New Roman"/>
          <w:sz w:val="20"/>
          <w:szCs w:val="20"/>
          <w:lang w:eastAsia="it-IT"/>
        </w:rPr>
      </w:pPr>
      <w:r w:rsidRPr="00E50751">
        <w:rPr>
          <w:rFonts w:ascii="Times" w:hAnsi="Times" w:cs="Times New Roman"/>
          <w:sz w:val="20"/>
          <w:szCs w:val="20"/>
          <w:lang w:eastAsia="it-IT"/>
        </w:rPr>
        <w:t>6. La detenzione domiciliare è revocata se il comportamento del soggetto, contrario alla legge o alle prescrizioni dettate, appare incompatibile con la prosecuzione delle misure.</w:t>
      </w:r>
    </w:p>
    <w:p w:rsidR="00E50751" w:rsidRPr="00E50751" w:rsidRDefault="00E50751" w:rsidP="00E50751">
      <w:pPr>
        <w:spacing w:beforeLines="1" w:afterLines="1"/>
        <w:rPr>
          <w:rFonts w:ascii="Times" w:hAnsi="Times" w:cs="Times New Roman"/>
          <w:sz w:val="20"/>
          <w:szCs w:val="20"/>
          <w:lang w:eastAsia="it-IT"/>
        </w:rPr>
      </w:pPr>
      <w:r w:rsidRPr="00E50751">
        <w:rPr>
          <w:rFonts w:ascii="Times" w:hAnsi="Times" w:cs="Times New Roman"/>
          <w:sz w:val="20"/>
          <w:szCs w:val="20"/>
          <w:lang w:eastAsia="it-IT"/>
        </w:rPr>
        <w:t>7. Deve essere inoltre revocata quando vengono a cessare le condizioni previste nei commi 1 e 1-bis e 1-ter</w:t>
      </w:r>
      <w:hyperlink r:id="rId28" w:anchor="nota_21791" w:history="1">
        <w:r w:rsidRPr="00E50751">
          <w:rPr>
            <w:rFonts w:ascii="Times" w:hAnsi="Times" w:cs="Times New Roman"/>
            <w:color w:val="0000FF"/>
            <w:sz w:val="20"/>
            <w:szCs w:val="20"/>
            <w:u w:val="single"/>
            <w:vertAlign w:val="superscript"/>
            <w:lang w:eastAsia="it-IT"/>
          </w:rPr>
          <w:t>(5)</w:t>
        </w:r>
      </w:hyperlink>
      <w:r w:rsidRPr="00E50751">
        <w:rPr>
          <w:rFonts w:ascii="Times" w:hAnsi="Times" w:cs="Times New Roman"/>
          <w:sz w:val="20"/>
          <w:szCs w:val="20"/>
          <w:lang w:eastAsia="it-IT"/>
        </w:rPr>
        <w:t>.</w:t>
      </w:r>
    </w:p>
    <w:p w:rsidR="00E50751" w:rsidRPr="00E50751" w:rsidRDefault="00E50751" w:rsidP="00E50751">
      <w:pPr>
        <w:spacing w:beforeLines="1" w:afterLines="1"/>
        <w:rPr>
          <w:rFonts w:ascii="Times" w:hAnsi="Times" w:cs="Times New Roman"/>
          <w:sz w:val="20"/>
          <w:szCs w:val="20"/>
          <w:lang w:eastAsia="it-IT"/>
        </w:rPr>
      </w:pPr>
      <w:r w:rsidRPr="00E50751">
        <w:rPr>
          <w:rFonts w:ascii="Times" w:hAnsi="Times" w:cs="Times New Roman"/>
          <w:sz w:val="20"/>
          <w:szCs w:val="20"/>
          <w:lang w:eastAsia="it-IT"/>
        </w:rPr>
        <w:t xml:space="preserve">8. [Il condannato che, essendo in stato di detenzione nella propria abitazione o in un altro dei luoghi indicati nel comma 1, se ne allontana, è punito ai sensi dell'articolo </w:t>
      </w:r>
      <w:hyperlink r:id="rId29" w:history="1">
        <w:r w:rsidRPr="00E50751">
          <w:rPr>
            <w:rFonts w:ascii="Times" w:hAnsi="Times" w:cs="Times New Roman"/>
            <w:color w:val="0000FF"/>
            <w:sz w:val="20"/>
            <w:szCs w:val="20"/>
            <w:u w:val="single"/>
            <w:lang w:eastAsia="it-IT"/>
          </w:rPr>
          <w:t>385</w:t>
        </w:r>
      </w:hyperlink>
      <w:r w:rsidRPr="00E50751">
        <w:rPr>
          <w:rFonts w:ascii="Times" w:hAnsi="Times" w:cs="Times New Roman"/>
          <w:sz w:val="20"/>
          <w:szCs w:val="20"/>
          <w:lang w:eastAsia="it-IT"/>
        </w:rPr>
        <w:t xml:space="preserve"> del codice penale. Si applica la disposizione dell'ultimo comma dello stesso articolo.]</w:t>
      </w:r>
      <w:hyperlink r:id="rId30" w:anchor="nota_21203" w:history="1">
        <w:r w:rsidRPr="00E50751">
          <w:rPr>
            <w:rFonts w:ascii="Times" w:hAnsi="Times" w:cs="Times New Roman"/>
            <w:color w:val="0000FF"/>
            <w:sz w:val="20"/>
            <w:szCs w:val="20"/>
            <w:u w:val="single"/>
            <w:vertAlign w:val="superscript"/>
            <w:lang w:eastAsia="it-IT"/>
          </w:rPr>
          <w:t>(2)</w:t>
        </w:r>
      </w:hyperlink>
    </w:p>
    <w:p w:rsidR="00E50751" w:rsidRPr="00E50751" w:rsidRDefault="00E50751" w:rsidP="00E50751">
      <w:pPr>
        <w:spacing w:beforeLines="1" w:afterLines="1"/>
        <w:rPr>
          <w:rFonts w:ascii="Times" w:hAnsi="Times" w:cs="Times New Roman"/>
          <w:sz w:val="20"/>
          <w:szCs w:val="20"/>
          <w:lang w:eastAsia="it-IT"/>
        </w:rPr>
      </w:pPr>
      <w:r w:rsidRPr="00E50751">
        <w:rPr>
          <w:rFonts w:ascii="Times" w:hAnsi="Times" w:cs="Times New Roman"/>
          <w:sz w:val="20"/>
          <w:szCs w:val="20"/>
          <w:lang w:eastAsia="it-IT"/>
        </w:rPr>
        <w:t>9. La condanna per il delitto di cui al comma 8, salvo che il fatto non sia di lieve entità, importa la revoca del beneficio.</w:t>
      </w:r>
    </w:p>
    <w:p w:rsidR="00E50751" w:rsidRPr="00E50751" w:rsidRDefault="00E50751" w:rsidP="00E50751">
      <w:pPr>
        <w:spacing w:beforeLines="1" w:afterLines="1"/>
        <w:rPr>
          <w:rFonts w:ascii="Times" w:hAnsi="Times" w:cs="Times New Roman"/>
          <w:sz w:val="20"/>
          <w:szCs w:val="20"/>
          <w:lang w:eastAsia="it-IT"/>
        </w:rPr>
      </w:pPr>
      <w:r w:rsidRPr="00E50751">
        <w:rPr>
          <w:rFonts w:ascii="Times" w:hAnsi="Times" w:cs="Times New Roman"/>
          <w:sz w:val="20"/>
          <w:szCs w:val="20"/>
          <w:lang w:eastAsia="it-IT"/>
        </w:rPr>
        <w:t>9-bis. Se la misura di cui al comma 1-bis è revocata ai sensi dei commi precedenti la pena residua non può essere sostituita con altra misura.</w:t>
      </w:r>
    </w:p>
    <w:p w:rsidR="00A50EE1" w:rsidRDefault="00E50751" w:rsidP="00C01AFC">
      <w:pPr>
        <w:pStyle w:val="comma"/>
        <w:spacing w:before="2" w:after="2"/>
      </w:pPr>
    </w:p>
    <w:sectPr w:rsidR="00A50EE1" w:rsidSect="00A50EE1">
      <w:pgSz w:w="11900" w:h="16840"/>
      <w:pgMar w:top="1417" w:right="1134" w:bottom="1134" w:left="1134" w:header="708" w:footer="708" w:gutter="0"/>
      <w:cols w:space="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40361FD"/>
    <w:multiLevelType w:val="multilevel"/>
    <w:tmpl w:val="EF529D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oNotTrackMoves/>
  <w:defaultTabStop w:val="708"/>
  <w:hyphenationZone w:val="283"/>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F4158C"/>
    <w:rsid w:val="00C01AFC"/>
    <w:rsid w:val="00E50751"/>
    <w:rsid w:val="00F4158C"/>
  </w:rsids>
  <m:mathPr>
    <m:mathFont m:val="Wingdings 2"/>
    <m:brkBin m:val="before"/>
    <m:brkBinSub m:val="--"/>
    <m:smallFrac m:val="off"/>
    <m:dispDef m:val="off"/>
    <m:lMargin m:val="0"/>
    <m:rMargin m:val="0"/>
    <m:wrapRight/>
    <m:intLim m:val="subSup"/>
    <m:naryLim m:val="subSup"/>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B2DEC"/>
  </w:style>
  <w:style w:type="paragraph" w:styleId="Titolo1">
    <w:name w:val="heading 1"/>
    <w:basedOn w:val="Normale"/>
    <w:link w:val="Titolo1Carattere"/>
    <w:uiPriority w:val="9"/>
    <w:rsid w:val="00F4158C"/>
    <w:pPr>
      <w:spacing w:beforeLines="1" w:afterLines="1"/>
      <w:outlineLvl w:val="0"/>
    </w:pPr>
    <w:rPr>
      <w:rFonts w:ascii="Times" w:hAnsi="Times"/>
      <w:b/>
      <w:kern w:val="36"/>
      <w:sz w:val="48"/>
      <w:szCs w:val="20"/>
      <w:lang w:eastAsia="it-IT"/>
    </w:rPr>
  </w:style>
  <w:style w:type="paragraph" w:styleId="Titolo2">
    <w:name w:val="heading 2"/>
    <w:basedOn w:val="Normale"/>
    <w:link w:val="Titolo2Carattere"/>
    <w:uiPriority w:val="9"/>
    <w:rsid w:val="00F4158C"/>
    <w:pPr>
      <w:spacing w:beforeLines="1" w:afterLines="1"/>
      <w:outlineLvl w:val="1"/>
    </w:pPr>
    <w:rPr>
      <w:rFonts w:ascii="Times" w:hAnsi="Times"/>
      <w:b/>
      <w:sz w:val="36"/>
      <w:szCs w:val="20"/>
      <w:lang w:eastAsia="it-IT"/>
    </w:rPr>
  </w:style>
  <w:style w:type="paragraph" w:styleId="Titolo3">
    <w:name w:val="heading 3"/>
    <w:basedOn w:val="Normale"/>
    <w:link w:val="Titolo3Carattere"/>
    <w:uiPriority w:val="9"/>
    <w:rsid w:val="00F4158C"/>
    <w:pPr>
      <w:spacing w:beforeLines="1" w:afterLines="1"/>
      <w:outlineLvl w:val="2"/>
    </w:pPr>
    <w:rPr>
      <w:rFonts w:ascii="Times" w:hAnsi="Times"/>
      <w:b/>
      <w:sz w:val="27"/>
      <w:szCs w:val="20"/>
      <w:lang w:eastAsia="it-IT"/>
    </w:rPr>
  </w:style>
  <w:style w:type="character" w:default="1" w:styleId="Caratterepredefinitoparagrafo">
    <w:name w:val="Default Paragraph Font"/>
    <w:semiHidden/>
    <w:unhideWhenUsed/>
  </w:style>
  <w:style w:type="table" w:default="1" w:styleId="Tabellanormale">
    <w:name w:val="Normal Table"/>
    <w:semiHidden/>
    <w:unhideWhenUsed/>
    <w:qFormat/>
    <w:tblPr>
      <w:tblInd w:w="0" w:type="dxa"/>
      <w:tblCellMar>
        <w:top w:w="0" w:type="dxa"/>
        <w:left w:w="108" w:type="dxa"/>
        <w:bottom w:w="0" w:type="dxa"/>
        <w:right w:w="108" w:type="dxa"/>
      </w:tblCellMar>
    </w:tblPr>
  </w:style>
  <w:style w:type="numbering" w:default="1" w:styleId="Nessunelenco">
    <w:name w:val="No List"/>
    <w:semiHidden/>
    <w:unhideWhenUsed/>
  </w:style>
  <w:style w:type="character" w:customStyle="1" w:styleId="Titolo1Carattere">
    <w:name w:val="Titolo 1 Carattere"/>
    <w:basedOn w:val="Caratterepredefinitoparagrafo"/>
    <w:link w:val="Titolo1"/>
    <w:uiPriority w:val="9"/>
    <w:rsid w:val="00F4158C"/>
    <w:rPr>
      <w:rFonts w:ascii="Times" w:hAnsi="Times"/>
      <w:b/>
      <w:kern w:val="36"/>
      <w:sz w:val="48"/>
      <w:szCs w:val="20"/>
      <w:lang w:eastAsia="it-IT"/>
    </w:rPr>
  </w:style>
  <w:style w:type="character" w:customStyle="1" w:styleId="Titolo2Carattere">
    <w:name w:val="Titolo 2 Carattere"/>
    <w:basedOn w:val="Caratterepredefinitoparagrafo"/>
    <w:link w:val="Titolo2"/>
    <w:uiPriority w:val="9"/>
    <w:rsid w:val="00F4158C"/>
    <w:rPr>
      <w:rFonts w:ascii="Times" w:hAnsi="Times"/>
      <w:b/>
      <w:sz w:val="36"/>
      <w:szCs w:val="20"/>
      <w:lang w:eastAsia="it-IT"/>
    </w:rPr>
  </w:style>
  <w:style w:type="character" w:customStyle="1" w:styleId="Titolo3Carattere">
    <w:name w:val="Titolo 3 Carattere"/>
    <w:basedOn w:val="Caratterepredefinitoparagrafo"/>
    <w:link w:val="Titolo3"/>
    <w:uiPriority w:val="9"/>
    <w:rsid w:val="00F4158C"/>
    <w:rPr>
      <w:rFonts w:ascii="Times" w:hAnsi="Times"/>
      <w:b/>
      <w:sz w:val="27"/>
      <w:szCs w:val="20"/>
      <w:lang w:eastAsia="it-IT"/>
    </w:rPr>
  </w:style>
  <w:style w:type="paragraph" w:customStyle="1" w:styleId="comma">
    <w:name w:val="comma"/>
    <w:basedOn w:val="Normale"/>
    <w:rsid w:val="00F4158C"/>
    <w:pPr>
      <w:spacing w:beforeLines="1" w:afterLines="1"/>
    </w:pPr>
    <w:rPr>
      <w:rFonts w:ascii="Times" w:hAnsi="Times"/>
      <w:sz w:val="20"/>
      <w:szCs w:val="20"/>
      <w:lang w:eastAsia="it-IT"/>
    </w:rPr>
  </w:style>
  <w:style w:type="character" w:styleId="Collegamentoipertestuale">
    <w:name w:val="Hyperlink"/>
    <w:basedOn w:val="Caratterepredefinitoparagrafo"/>
    <w:uiPriority w:val="99"/>
    <w:rsid w:val="00F4158C"/>
    <w:rPr>
      <w:color w:val="0000FF"/>
      <w:u w:val="single"/>
    </w:rPr>
  </w:style>
  <w:style w:type="character" w:styleId="Collegamentovisitato">
    <w:name w:val="FollowedHyperlink"/>
    <w:basedOn w:val="Caratterepredefinitoparagrafo"/>
    <w:uiPriority w:val="99"/>
    <w:rsid w:val="00E50751"/>
    <w:rPr>
      <w:color w:val="0000FF"/>
      <w:u w:val="single"/>
    </w:rPr>
  </w:style>
</w:styles>
</file>

<file path=word/webSettings.xml><?xml version="1.0" encoding="utf-8"?>
<w:webSettings xmlns:r="http://schemas.openxmlformats.org/officeDocument/2006/relationships" xmlns:w="http://schemas.openxmlformats.org/wordprocessingml/2006/main">
  <w:divs>
    <w:div w:id="197204444">
      <w:bodyDiv w:val="1"/>
      <w:marLeft w:val="0"/>
      <w:marRight w:val="0"/>
      <w:marTop w:val="0"/>
      <w:marBottom w:val="0"/>
      <w:divBdr>
        <w:top w:val="none" w:sz="0" w:space="0" w:color="auto"/>
        <w:left w:val="none" w:sz="0" w:space="0" w:color="auto"/>
        <w:bottom w:val="none" w:sz="0" w:space="0" w:color="auto"/>
        <w:right w:val="none" w:sz="0" w:space="0" w:color="auto"/>
      </w:divBdr>
      <w:divsChild>
        <w:div w:id="683441661">
          <w:marLeft w:val="0"/>
          <w:marRight w:val="0"/>
          <w:marTop w:val="0"/>
          <w:marBottom w:val="0"/>
          <w:divBdr>
            <w:top w:val="none" w:sz="0" w:space="0" w:color="auto"/>
            <w:left w:val="none" w:sz="0" w:space="0" w:color="auto"/>
            <w:bottom w:val="none" w:sz="0" w:space="0" w:color="auto"/>
            <w:right w:val="none" w:sz="0" w:space="0" w:color="auto"/>
          </w:divBdr>
        </w:div>
      </w:divsChild>
    </w:div>
    <w:div w:id="694887896">
      <w:bodyDiv w:val="1"/>
      <w:marLeft w:val="0"/>
      <w:marRight w:val="0"/>
      <w:marTop w:val="0"/>
      <w:marBottom w:val="0"/>
      <w:divBdr>
        <w:top w:val="none" w:sz="0" w:space="0" w:color="auto"/>
        <w:left w:val="none" w:sz="0" w:space="0" w:color="auto"/>
        <w:bottom w:val="none" w:sz="0" w:space="0" w:color="auto"/>
        <w:right w:val="none" w:sz="0" w:space="0" w:color="auto"/>
      </w:divBdr>
      <w:divsChild>
        <w:div w:id="2102876287">
          <w:marLeft w:val="0"/>
          <w:marRight w:val="0"/>
          <w:marTop w:val="0"/>
          <w:marBottom w:val="0"/>
          <w:divBdr>
            <w:top w:val="none" w:sz="0" w:space="0" w:color="auto"/>
            <w:left w:val="none" w:sz="0" w:space="0" w:color="auto"/>
            <w:bottom w:val="none" w:sz="0" w:space="0" w:color="auto"/>
            <w:right w:val="none" w:sz="0" w:space="0" w:color="auto"/>
          </w:divBdr>
        </w:div>
      </w:divsChild>
    </w:div>
    <w:div w:id="840051014">
      <w:bodyDiv w:val="1"/>
      <w:marLeft w:val="0"/>
      <w:marRight w:val="0"/>
      <w:marTop w:val="0"/>
      <w:marBottom w:val="0"/>
      <w:divBdr>
        <w:top w:val="none" w:sz="0" w:space="0" w:color="auto"/>
        <w:left w:val="none" w:sz="0" w:space="0" w:color="auto"/>
        <w:bottom w:val="none" w:sz="0" w:space="0" w:color="auto"/>
        <w:right w:val="none" w:sz="0" w:space="0" w:color="auto"/>
      </w:divBdr>
      <w:divsChild>
        <w:div w:id="1915890305">
          <w:marLeft w:val="0"/>
          <w:marRight w:val="0"/>
          <w:marTop w:val="0"/>
          <w:marBottom w:val="0"/>
          <w:divBdr>
            <w:top w:val="none" w:sz="0" w:space="0" w:color="auto"/>
            <w:left w:val="none" w:sz="0" w:space="0" w:color="auto"/>
            <w:bottom w:val="none" w:sz="0" w:space="0" w:color="auto"/>
            <w:right w:val="none" w:sz="0" w:space="0" w:color="auto"/>
          </w:divBdr>
          <w:divsChild>
            <w:div w:id="1334264592">
              <w:marLeft w:val="0"/>
              <w:marRight w:val="0"/>
              <w:marTop w:val="0"/>
              <w:marBottom w:val="0"/>
              <w:divBdr>
                <w:top w:val="none" w:sz="0" w:space="0" w:color="auto"/>
                <w:left w:val="none" w:sz="0" w:space="0" w:color="auto"/>
                <w:bottom w:val="none" w:sz="0" w:space="0" w:color="auto"/>
                <w:right w:val="none" w:sz="0" w:space="0" w:color="auto"/>
              </w:divBdr>
            </w:div>
            <w:div w:id="139631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328196">
      <w:bodyDiv w:val="1"/>
      <w:marLeft w:val="0"/>
      <w:marRight w:val="0"/>
      <w:marTop w:val="0"/>
      <w:marBottom w:val="0"/>
      <w:divBdr>
        <w:top w:val="none" w:sz="0" w:space="0" w:color="auto"/>
        <w:left w:val="none" w:sz="0" w:space="0" w:color="auto"/>
        <w:bottom w:val="none" w:sz="0" w:space="0" w:color="auto"/>
        <w:right w:val="none" w:sz="0" w:space="0" w:color="auto"/>
      </w:divBdr>
      <w:divsChild>
        <w:div w:id="2019846012">
          <w:marLeft w:val="0"/>
          <w:marRight w:val="0"/>
          <w:marTop w:val="0"/>
          <w:marBottom w:val="0"/>
          <w:divBdr>
            <w:top w:val="none" w:sz="0" w:space="0" w:color="auto"/>
            <w:left w:val="none" w:sz="0" w:space="0" w:color="auto"/>
            <w:bottom w:val="none" w:sz="0" w:space="0" w:color="auto"/>
            <w:right w:val="none" w:sz="0" w:space="0" w:color="auto"/>
          </w:divBdr>
          <w:divsChild>
            <w:div w:id="600801087">
              <w:marLeft w:val="0"/>
              <w:marRight w:val="0"/>
              <w:marTop w:val="0"/>
              <w:marBottom w:val="0"/>
              <w:divBdr>
                <w:top w:val="none" w:sz="0" w:space="0" w:color="auto"/>
                <w:left w:val="none" w:sz="0" w:space="0" w:color="auto"/>
                <w:bottom w:val="none" w:sz="0" w:space="0" w:color="auto"/>
                <w:right w:val="none" w:sz="0" w:space="0" w:color="auto"/>
              </w:divBdr>
            </w:div>
            <w:div w:id="120351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1137085">
      <w:bodyDiv w:val="1"/>
      <w:marLeft w:val="0"/>
      <w:marRight w:val="0"/>
      <w:marTop w:val="0"/>
      <w:marBottom w:val="0"/>
      <w:divBdr>
        <w:top w:val="none" w:sz="0" w:space="0" w:color="auto"/>
        <w:left w:val="none" w:sz="0" w:space="0" w:color="auto"/>
        <w:bottom w:val="none" w:sz="0" w:space="0" w:color="auto"/>
        <w:right w:val="none" w:sz="0" w:space="0" w:color="auto"/>
      </w:divBdr>
      <w:divsChild>
        <w:div w:id="95055996">
          <w:marLeft w:val="0"/>
          <w:marRight w:val="0"/>
          <w:marTop w:val="0"/>
          <w:marBottom w:val="0"/>
          <w:divBdr>
            <w:top w:val="none" w:sz="0" w:space="0" w:color="auto"/>
            <w:left w:val="none" w:sz="0" w:space="0" w:color="auto"/>
            <w:bottom w:val="none" w:sz="0" w:space="0" w:color="auto"/>
            <w:right w:val="none" w:sz="0" w:space="0" w:color="auto"/>
          </w:divBdr>
          <w:divsChild>
            <w:div w:id="1240411037">
              <w:marLeft w:val="0"/>
              <w:marRight w:val="0"/>
              <w:marTop w:val="0"/>
              <w:marBottom w:val="0"/>
              <w:divBdr>
                <w:top w:val="none" w:sz="0" w:space="0" w:color="auto"/>
                <w:left w:val="none" w:sz="0" w:space="0" w:color="auto"/>
                <w:bottom w:val="none" w:sz="0" w:space="0" w:color="auto"/>
                <w:right w:val="none" w:sz="0" w:space="0" w:color="auto"/>
              </w:divBdr>
            </w:div>
            <w:div w:id="118236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495946">
      <w:bodyDiv w:val="1"/>
      <w:marLeft w:val="0"/>
      <w:marRight w:val="0"/>
      <w:marTop w:val="0"/>
      <w:marBottom w:val="0"/>
      <w:divBdr>
        <w:top w:val="none" w:sz="0" w:space="0" w:color="auto"/>
        <w:left w:val="none" w:sz="0" w:space="0" w:color="auto"/>
        <w:bottom w:val="none" w:sz="0" w:space="0" w:color="auto"/>
        <w:right w:val="none" w:sz="0" w:space="0" w:color="auto"/>
      </w:divBdr>
      <w:divsChild>
        <w:div w:id="683678241">
          <w:marLeft w:val="0"/>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s://www.brocardi.it/legge-ordinamento-penitenziario/titolo-i/capo-i/art4bis.html" TargetMode="External"/><Relationship Id="rId20" Type="http://schemas.openxmlformats.org/officeDocument/2006/relationships/hyperlink" Target="https://www.brocardi.it/legge-ordinamento-penitenziario/titolo-i/capo-iv/art41bis.html" TargetMode="External"/><Relationship Id="rId21" Type="http://schemas.openxmlformats.org/officeDocument/2006/relationships/hyperlink" Target="https://www.brocardi.it/codice-penale/libro-primo/titolo-v/capo-ii/art146.html" TargetMode="External"/><Relationship Id="rId22" Type="http://schemas.openxmlformats.org/officeDocument/2006/relationships/hyperlink" Target="https://www.brocardi.it/codice-penale/libro-primo/titolo-v/capo-ii/art147.html" TargetMode="External"/><Relationship Id="rId23" Type="http://schemas.openxmlformats.org/officeDocument/2006/relationships/hyperlink" Target="https://www.brocardi.it/legge-ordinamento-penitenziario/titolo-i/capo-vi/art47ter.html?utm_source=internal&amp;utm_medium=link&amp;utm_campaign=articolo&amp;utm_content=nav_art_prec_top" TargetMode="External"/><Relationship Id="rId24" Type="http://schemas.openxmlformats.org/officeDocument/2006/relationships/hyperlink" Target="https://www.brocardi.it/legge-ordinamento-penitenziario/titolo-i/capo-vi/art47ter.html?utm_source=internal&amp;utm_medium=link&amp;utm_campaign=articolo&amp;utm_content=nav_art_prec_top" TargetMode="External"/><Relationship Id="rId25" Type="http://schemas.openxmlformats.org/officeDocument/2006/relationships/hyperlink" Target="https://www.brocardi.it/legge-ordinamento-penitenziario/titolo-i/capo-vi/art47ter.html?utm_source=internal&amp;utm_medium=link&amp;utm_campaign=articolo&amp;utm_content=nav_art_prec_top" TargetMode="External"/><Relationship Id="rId26" Type="http://schemas.openxmlformats.org/officeDocument/2006/relationships/hyperlink" Target="https://www.brocardi.it/codice-di-procedura-penale/libro-quarto/titolo-i/capo-ii/art284.html" TargetMode="External"/><Relationship Id="rId27" Type="http://schemas.openxmlformats.org/officeDocument/2006/relationships/hyperlink" Target="https://www.brocardi.it/legge-ordinamento-penitenziario/titolo-i/capo-vi/art47ter.html?utm_source=internal&amp;utm_medium=link&amp;utm_campaign=articolo&amp;utm_content=nav_art_prec_top" TargetMode="External"/><Relationship Id="rId28" Type="http://schemas.openxmlformats.org/officeDocument/2006/relationships/hyperlink" Target="https://www.brocardi.it/legge-ordinamento-penitenziario/titolo-i/capo-vi/art47ter.html?utm_source=internal&amp;utm_medium=link&amp;utm_campaign=articolo&amp;utm_content=nav_art_prec_top" TargetMode="External"/><Relationship Id="rId29" Type="http://schemas.openxmlformats.org/officeDocument/2006/relationships/hyperlink" Target="https://www.brocardi.it/codice-penale/libro-secondo/titolo-iii/capo-ii/art385.html" TargetMode="External"/><Relationship Id="rId30" Type="http://schemas.openxmlformats.org/officeDocument/2006/relationships/hyperlink" Target="https://www.brocardi.it/legge-ordinamento-penitenziario/titolo-i/capo-vi/art47ter.html?utm_source=internal&amp;utm_medium=link&amp;utm_campaign=articolo&amp;utm_content=nav_art_prec_top" TargetMode="External"/><Relationship Id="rId31" Type="http://schemas.openxmlformats.org/officeDocument/2006/relationships/fontTable" Target="fontTable.xml"/><Relationship Id="rId32" Type="http://schemas.openxmlformats.org/officeDocument/2006/relationships/theme" Target="theme/theme1.xml"/><Relationship Id="rId10" Type="http://schemas.openxmlformats.org/officeDocument/2006/relationships/hyperlink" Target="https://www.brocardi.it/codice-penale/libro-primo/titolo-iv/capo-ii/art99.html" TargetMode="External"/><Relationship Id="rId11" Type="http://schemas.openxmlformats.org/officeDocument/2006/relationships/hyperlink" Target="https://www.brocardi.it/legge-ordinamento-penitenziario/titolo-i/capo-vi/art47ter.html?utm_source=internal&amp;utm_medium=link&amp;utm_campaign=articolo&amp;utm_content=nav_art_prec_top" TargetMode="External"/><Relationship Id="rId12" Type="http://schemas.openxmlformats.org/officeDocument/2006/relationships/hyperlink" Target="https://www.brocardi.it/legge-ordinamento-penitenziario/titolo-i/capo-vi/art47ter.html?utm_source=internal&amp;utm_medium=link&amp;utm_campaign=articolo&amp;utm_content=nav_art_prec_top" TargetMode="External"/><Relationship Id="rId13" Type="http://schemas.openxmlformats.org/officeDocument/2006/relationships/hyperlink" Target="https://www.brocardi.it/legge-ordinamento-penitenziario/titolo-i/capo-vi/art47ter.html?utm_source=internal&amp;utm_medium=link&amp;utm_campaign=articolo&amp;utm_content=nav_art_prec_top" TargetMode="External"/><Relationship Id="rId14" Type="http://schemas.openxmlformats.org/officeDocument/2006/relationships/hyperlink" Target="https://www.brocardi.it/legge-ordinamento-penitenziario/titolo-i/capo-i/art4bis.html" TargetMode="External"/><Relationship Id="rId15" Type="http://schemas.openxmlformats.org/officeDocument/2006/relationships/hyperlink" Target="https://www.brocardi.it/codice-penale/libro-primo/titolo-v/capo-ii/art146.html" TargetMode="External"/><Relationship Id="rId16" Type="http://schemas.openxmlformats.org/officeDocument/2006/relationships/hyperlink" Target="https://www.brocardi.it/codice-penale/libro-primo/titolo-v/capo-ii/art147.html" TargetMode="External"/><Relationship Id="rId17" Type="http://schemas.openxmlformats.org/officeDocument/2006/relationships/hyperlink" Target="https://www.brocardi.it/legge-ordinamento-penitenziario/titolo-i/capo-vi/art47ter.html?utm_source=internal&amp;utm_medium=link&amp;utm_campaign=articolo&amp;utm_content=nav_art_prec_top" TargetMode="External"/><Relationship Id="rId18" Type="http://schemas.openxmlformats.org/officeDocument/2006/relationships/hyperlink" Target="https://www.brocardi.it/legge-ordinamento-penitenziario/titolo-i/capo-vi/art47.html" TargetMode="External"/><Relationship Id="rId19" Type="http://schemas.openxmlformats.org/officeDocument/2006/relationships/hyperlink" Target="https://www.brocardi.it/codice-di-procedura-penale/libro-primo/titolo-ii/art51.html" TargetMode="Externa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s://www.brocardi.it/codice-penale/libro-secondo/titolo-xii/capo-iii/sezione-ii/art609bis.html" TargetMode="External"/><Relationship Id="rId6" Type="http://schemas.openxmlformats.org/officeDocument/2006/relationships/hyperlink" Target="https://www.brocardi.it/codice-penale/libro-secondo/titolo-xii/capo-iii/sezione-ii/art609quater.html" TargetMode="External"/><Relationship Id="rId7" Type="http://schemas.openxmlformats.org/officeDocument/2006/relationships/hyperlink" Target="https://www.brocardi.it/codice-penale/libro-secondo/titolo-xii/capo-iii/sezione-ii/art609octies.html" TargetMode="External"/><Relationship Id="rId8" Type="http://schemas.openxmlformats.org/officeDocument/2006/relationships/hyperlink" Target="https://www.brocardi.it/codice-di-procedura-penale/libro-primo/titolo-ii/art51.html"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1596</Words>
  <Characters>9100</Characters>
  <Application>Microsoft Macintosh Word</Application>
  <DocSecurity>0</DocSecurity>
  <Lines>75</Lines>
  <Paragraphs>18</Paragraphs>
  <ScaleCrop>false</ScaleCrop>
  <Company>...</Company>
  <LinksUpToDate>false</LinksUpToDate>
  <CharactersWithSpaces>11175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Massimiliano Chiuchiolo</dc:creator>
  <cp:keywords/>
  <cp:lastModifiedBy>Massimiliano Chiuchiolo</cp:lastModifiedBy>
  <cp:revision>2</cp:revision>
  <dcterms:created xsi:type="dcterms:W3CDTF">2025-05-06T11:38:00Z</dcterms:created>
  <dcterms:modified xsi:type="dcterms:W3CDTF">2025-05-06T11:38:00Z</dcterms:modified>
</cp:coreProperties>
</file>